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1B" w:rsidRDefault="00F64706">
      <w:r>
        <w:t xml:space="preserve"> </w:t>
      </w:r>
    </w:p>
    <w:p w:rsidR="00B72B59" w:rsidRDefault="00F64706" w:rsidP="00B72B59">
      <w:pPr>
        <w:pStyle w:val="NormalWeb"/>
      </w:pPr>
      <w:r>
        <w:t>SURGICAL HISTORY</w:t>
      </w:r>
    </w:p>
    <w:p w:rsidR="00911B38" w:rsidRDefault="00911B38" w:rsidP="00B72B59">
      <w:pPr>
        <w:pStyle w:val="NormalWeb"/>
      </w:pPr>
      <w:r>
        <w:t xml:space="preserve">A detailed and organized history is essential to formulating an accurate differential diagnosis and subsequent treatment regimen. Modern advances in imaging cannot and will never replace the need for a skilled clinician's bedside examination. The history must focus not only on the investigation of the pain complaints but also on past problems and associated symptoms. Questions must be open-ended whenever possible and structured to disclose the onset, character, location, duration, radiation, and chronology of the pain experienced. It is tempting to ask questions such as, “is the pain sharp” or “does eating make it worse?” This specific yes or no style can speed up the history taking by not allowing the patient to narrate, but it stands to miss vital details and potentially skew the responses. A much better questioning style would be “how does the pain feel to you” or “does anything make the pain better or worse?” Often, additional information can be gained by observing how the patient describes the pain that is experienced. Identifying the pain with one finger often indicates pain that is much more localized and typical of parietal innervation or peritoneal inflammation, as compared with illustrating the area of discomfort with the palm of the hand, which </w:t>
      </w:r>
      <w:bookmarkStart w:id="0" w:name="4-u1.0-B978-1-4160-3675-3..50049-6--p118"/>
      <w:bookmarkEnd w:id="0"/>
      <w:r>
        <w:t>is more typical of the visceral discomfort of bowel or solid organ disease.</w:t>
      </w:r>
    </w:p>
    <w:p w:rsidR="007B1951" w:rsidRDefault="00911B38" w:rsidP="007B1951">
      <w:pPr>
        <w:pStyle w:val="NormalWeb"/>
      </w:pPr>
      <w:r>
        <w:t>The past medical history</w:t>
      </w:r>
      <w:r w:rsidR="00B72B59">
        <w:t xml:space="preserve"> can potentially be more helpful than any other single part of the patient's evaluation. Previous illnesses or diagnoses can greatly increase or decrease the likelihood of certain conditions that would otherwise not be highly considered. Patients may, for example, report that the current pain is very similar to the kidney stone passage they experienced a decade pr</w:t>
      </w:r>
      <w:r>
        <w:t xml:space="preserve">ior. On the other hand, a prior history </w:t>
      </w:r>
      <w:r w:rsidR="00B72B59">
        <w:t>of appendectomy, pelvic inflammatory disease, or cholecystectomy can significantly shape the differential diagnosis.</w:t>
      </w:r>
      <w:r w:rsidR="007B1951">
        <w:t xml:space="preserve"> Medications can both create acute abdominal conditions or mask their symptoms. Although a thorough discussion of the impact of all medications is beyond the scope of this chapter, several common drug classes deserve mention. High-dose narcotic use can interfere with bowel activity and lead to obstipation and obstruction. Narcotics also can contribute to spasm of the sphincter of Oddi and exacerbate biliary or pancreatic pain. Clearly, they also may suppress pain sensation and alter mental status, which can impair the ability to accurately diagnose the condition. Nonsteroidal anti-inflammatory agents are associated with an increased risk for upper gastrointestinal inflammation and perforation, whereas steroids can block protective gastric mucous production by chief cells and reduce the inflammatory reaction to infection, including advanced peritonitis.</w:t>
      </w:r>
    </w:p>
    <w:p w:rsidR="00F55BAB" w:rsidRDefault="007B1951" w:rsidP="007B1951">
      <w:pPr>
        <w:pStyle w:val="NormalWeb"/>
      </w:pPr>
      <w:bookmarkStart w:id="1" w:name="4-u1.0-B978-1-4160-3675-3..50049-6--para"/>
      <w:bookmarkEnd w:id="1"/>
      <w:r>
        <w:t>Immunosuppressant agents as a class both increase a patient's risk for acquiring a variety of bacterial and viral illnesses and blunt the inflammatory response, diminishing the pain that is present and the overall physiologic response. Anticoagulants are much more prevalent in emergency patients as the population ages. These drugs may be the cause of gastrointestinal bleeds, retroperitoneal hemorrhages, or rectus sheath hematomas. They also can complicate the preoperative preparation of the patient and can cause substantial morbidity if their use goes unrecognized.</w:t>
      </w:r>
    </w:p>
    <w:p w:rsidR="00F55BAB" w:rsidRDefault="00F55BAB" w:rsidP="007B1951">
      <w:pPr>
        <w:pStyle w:val="NormalWeb"/>
      </w:pPr>
    </w:p>
    <w:p w:rsidR="00911B38" w:rsidRDefault="00911B38" w:rsidP="00B72B59">
      <w:pPr>
        <w:pStyle w:val="NormalWeb"/>
      </w:pPr>
    </w:p>
    <w:p w:rsidR="00F55BAB" w:rsidRDefault="00B72B59" w:rsidP="00F55BAB">
      <w:pPr>
        <w:pStyle w:val="NormalWeb"/>
      </w:pPr>
      <w:r>
        <w:t xml:space="preserve"> During the abdominal examination, all scars on the abdomen must </w:t>
      </w:r>
      <w:r w:rsidR="00911B38">
        <w:t>be accounted for by the medical history</w:t>
      </w:r>
      <w:r>
        <w:t xml:space="preserve"> obtained.</w:t>
      </w:r>
      <w:r w:rsidR="00F55BAB" w:rsidRPr="00F55BAB">
        <w:t xml:space="preserve"> </w:t>
      </w:r>
    </w:p>
    <w:p w:rsidR="00DF366F" w:rsidRDefault="00F55BAB" w:rsidP="00F55BAB">
      <w:pPr>
        <w:pStyle w:val="NormalWeb"/>
      </w:pPr>
      <w:r>
        <w:t>Gynecologic history of female patients is very important.</w:t>
      </w:r>
      <w:r w:rsidRPr="00F55BAB">
        <w:t xml:space="preserve"> </w:t>
      </w:r>
      <w:r>
        <w:t>The gynecologic health, and specifically the menstrual history, is crucial in evaluation of lower abdominal pain in young women. The likelihood of ectopic pregnancy, pelvic inflammatory disease, mittelschmerz, or severe endometriosis is heavily influenced by the details of the gynecologic history.</w:t>
      </w:r>
    </w:p>
    <w:p w:rsidR="00A14D3F" w:rsidRDefault="00DF366F" w:rsidP="00A14D3F">
      <w:r w:rsidRPr="00DF366F">
        <w:t xml:space="preserve"> </w:t>
      </w:r>
      <w:r>
        <w:t>NB. The application of computers to the so-called art of history taking, which has been extensively studied in Europe where data were collected by physicians on detailed standardized forms during history and physical examination and entered into computers programmed with a medical database of diseases and their associated signs and symptoms. The computer-generated diagnosis based on mathematical probabilities was as much as 20% more accurate than the diagnosis determined by physicians left to their own methods. It is interesting and important to note, however, that statistically significant improvement in accuracy and efficiency has been realized without computer assistance when similar standardized forms are used for data collection. This has also been observed in the settings of trauma and critical care</w:t>
      </w:r>
      <w:bookmarkStart w:id="2" w:name="4-u1.0-B978-1-4160-3675-3..50049-6--cese"/>
      <w:bookmarkEnd w:id="2"/>
      <w:r w:rsidR="00A14D3F">
        <w:t>.</w:t>
      </w:r>
    </w:p>
    <w:p w:rsidR="00A14D3F" w:rsidRPr="00A14D3F" w:rsidRDefault="00A14D3F" w:rsidP="00A14D3F">
      <w:pPr>
        <w:rPr>
          <w:rFonts w:ascii="Times New Roman" w:eastAsia="Times New Roman" w:hAnsi="Times New Roman" w:cs="Times New Roman"/>
          <w:sz w:val="24"/>
          <w:szCs w:val="24"/>
        </w:rPr>
      </w:pPr>
      <w:r>
        <w:rPr>
          <w:rStyle w:val="section-title-11"/>
        </w:rPr>
        <w:t>PHYSICAL EXAMINATION</w:t>
      </w:r>
      <w:r w:rsidRPr="00A14D3F">
        <w:rPr>
          <w:rFonts w:ascii="Times New Roman" w:eastAsia="Times New Roman" w:hAnsi="Times New Roman" w:cs="Times New Roman"/>
          <w:color w:val="FFFFFF"/>
          <w:sz w:val="16"/>
        </w:rPr>
        <w:t>XAMINATION</w:t>
      </w:r>
      <w:r w:rsidRPr="00A14D3F">
        <w:rPr>
          <w:rFonts w:ascii="Times New Roman" w:eastAsia="Times New Roman" w:hAnsi="Times New Roman" w:cs="Times New Roman"/>
          <w:sz w:val="24"/>
          <w:szCs w:val="24"/>
        </w:rPr>
        <w:t xml:space="preserve"> </w:t>
      </w:r>
    </w:p>
    <w:p w:rsidR="00A14D3F" w:rsidRDefault="00A14D3F" w:rsidP="00A14D3F">
      <w:pPr>
        <w:spacing w:before="100" w:beforeAutospacing="1" w:after="100" w:afterAutospacing="1" w:line="240" w:lineRule="auto"/>
        <w:rPr>
          <w:rFonts w:ascii="Times New Roman" w:eastAsia="Times New Roman" w:hAnsi="Times New Roman" w:cs="Times New Roman"/>
          <w:sz w:val="24"/>
          <w:szCs w:val="24"/>
        </w:rPr>
      </w:pPr>
      <w:r w:rsidRPr="00A14D3F">
        <w:rPr>
          <w:rFonts w:ascii="Times New Roman" w:eastAsia="Times New Roman" w:hAnsi="Times New Roman" w:cs="Times New Roman"/>
          <w:sz w:val="24"/>
          <w:szCs w:val="24"/>
        </w:rPr>
        <w:t>An organized and thoughtful physical</w:t>
      </w:r>
      <w:r w:rsidR="00035D45">
        <w:rPr>
          <w:rFonts w:ascii="Times New Roman" w:eastAsia="Times New Roman" w:hAnsi="Times New Roman" w:cs="Times New Roman"/>
          <w:sz w:val="24"/>
          <w:szCs w:val="24"/>
        </w:rPr>
        <w:t xml:space="preserve"> examination</w:t>
      </w:r>
      <w:r w:rsidRPr="00A14D3F">
        <w:rPr>
          <w:rFonts w:ascii="Times New Roman" w:eastAsia="Times New Roman" w:hAnsi="Times New Roman" w:cs="Times New Roman"/>
          <w:sz w:val="24"/>
          <w:szCs w:val="24"/>
        </w:rPr>
        <w:t xml:space="preserve"> is critical to the development of an accurate differential diagnosis and the subsequent treatment algorithm. Despite newer technologies, including high-resolution computed tomography (CT) scanning, ultrasound, and magnetic resonance imaging (MRI), the physical</w:t>
      </w:r>
      <w:r w:rsidR="00035D45">
        <w:rPr>
          <w:rFonts w:ascii="Times New Roman" w:eastAsia="Times New Roman" w:hAnsi="Times New Roman" w:cs="Times New Roman"/>
          <w:sz w:val="24"/>
          <w:szCs w:val="24"/>
        </w:rPr>
        <w:t xml:space="preserve"> examination </w:t>
      </w:r>
      <w:r w:rsidRPr="00A14D3F">
        <w:rPr>
          <w:rFonts w:ascii="Times New Roman" w:eastAsia="Times New Roman" w:hAnsi="Times New Roman" w:cs="Times New Roman"/>
          <w:sz w:val="24"/>
          <w:szCs w:val="24"/>
        </w:rPr>
        <w:t>remains a key part of a patient's evaluation and must not be minimized. A skilled clinician will be able to develop a narrow and accurate differential diagnosis in most patients at the conclusion of the history and physical</w:t>
      </w:r>
      <w:r w:rsidR="00035D45">
        <w:rPr>
          <w:rFonts w:ascii="Times New Roman" w:eastAsia="Times New Roman" w:hAnsi="Times New Roman" w:cs="Times New Roman"/>
          <w:sz w:val="24"/>
          <w:szCs w:val="24"/>
        </w:rPr>
        <w:t xml:space="preserve"> examination</w:t>
      </w:r>
      <w:r w:rsidRPr="00A14D3F">
        <w:rPr>
          <w:rFonts w:ascii="Times New Roman" w:eastAsia="Times New Roman" w:hAnsi="Times New Roman" w:cs="Times New Roman"/>
          <w:sz w:val="24"/>
          <w:szCs w:val="24"/>
        </w:rPr>
        <w:t>. Laboratory and imaging studies can then be used to further confirm the suspicions, reorder the proposed differential diagnosis, or less commonly, suggest unusual possibilities not yet considered.</w:t>
      </w:r>
    </w:p>
    <w:p w:rsidR="005C451F" w:rsidRDefault="00BE5788" w:rsidP="005C451F">
      <w:pPr>
        <w:rPr>
          <w:b/>
          <w:bCs/>
        </w:rPr>
      </w:pPr>
      <w:r>
        <w:t>The physical examination always begins with a general inspection of the patient, followed by inspection of the abdomen itself. Patients with peritoneal irritation experience worsened pain with any activity that moves or stretches the peritoneum. These patients typically lie very still in the bed during the evaluation and often maintain flexion of their knees and hips to reduce tension on the anterior abdominal wall. Disease states that cause pain without peritoneal irritation, such as ischemic bowel and ureteric and biliary colic, typically cause patients to continually shift and fidget in bed while trying to find a position that lessens their discomfort. Other important clues, such as pallor, cyanosis, and diaphoresis, may be observed during the general inspection as well.</w:t>
      </w:r>
      <w:r w:rsidR="005C451F" w:rsidRPr="005C451F">
        <w:rPr>
          <w:b/>
          <w:bCs/>
        </w:rPr>
        <w:t xml:space="preserve"> </w:t>
      </w:r>
    </w:p>
    <w:p w:rsidR="005C451F" w:rsidRDefault="005C451F" w:rsidP="005C451F">
      <w:pPr>
        <w:rPr>
          <w:b/>
          <w:bCs/>
        </w:rPr>
      </w:pPr>
    </w:p>
    <w:p w:rsidR="005C451F" w:rsidRDefault="005C451F" w:rsidP="005C451F">
      <w:pPr>
        <w:rPr>
          <w:b/>
          <w:bCs/>
        </w:rPr>
      </w:pPr>
    </w:p>
    <w:p w:rsidR="005C451F" w:rsidRDefault="005C451F" w:rsidP="005C451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C451F">
        <w:rPr>
          <w:rFonts w:ascii="Times New Roman" w:eastAsia="Times New Roman" w:hAnsi="Times New Roman" w:cs="Times New Roman"/>
          <w:b/>
          <w:bCs/>
          <w:sz w:val="24"/>
          <w:szCs w:val="24"/>
        </w:rPr>
        <w:t xml:space="preserve"> </w:t>
      </w:r>
      <w:bookmarkStart w:id="3" w:name="4-u1.0-B978-1-4160-3675-3..50049-6--spar"/>
      <w:bookmarkEnd w:id="3"/>
    </w:p>
    <w:p w:rsidR="005C451F" w:rsidRPr="005C451F" w:rsidRDefault="005C451F" w:rsidP="005C451F">
      <w:pPr>
        <w:rPr>
          <w:rFonts w:ascii="Times New Roman" w:eastAsia="Times New Roman" w:hAnsi="Times New Roman" w:cs="Times New Roman"/>
          <w:sz w:val="24"/>
          <w:szCs w:val="24"/>
        </w:rPr>
      </w:pPr>
      <w:r w:rsidRPr="005C451F">
        <w:rPr>
          <w:rFonts w:ascii="Times New Roman" w:eastAsia="Times New Roman" w:hAnsi="Times New Roman" w:cs="Times New Roman"/>
          <w:b/>
          <w:bCs/>
          <w:sz w:val="24"/>
          <w:szCs w:val="24"/>
        </w:rPr>
        <w:t>Abdominal</w:t>
      </w:r>
      <w:r>
        <w:rPr>
          <w:rFonts w:ascii="Times New Roman" w:eastAsia="Times New Roman" w:hAnsi="Times New Roman" w:cs="Times New Roman"/>
          <w:b/>
          <w:bCs/>
          <w:sz w:val="24"/>
          <w:szCs w:val="24"/>
        </w:rPr>
        <w:t xml:space="preserve"> Examination </w:t>
      </w:r>
      <w:r w:rsidRPr="005C451F">
        <w:rPr>
          <w:rFonts w:ascii="Times New Roman" w:eastAsia="Times New Roman" w:hAnsi="Times New Roman" w:cs="Times New Roman"/>
          <w:b/>
          <w:bCs/>
          <w:sz w:val="24"/>
          <w:szCs w:val="24"/>
        </w:rPr>
        <w:t>Signs</w:t>
      </w:r>
    </w:p>
    <w:tbl>
      <w:tblPr>
        <w:tblW w:w="0" w:type="auto"/>
        <w:tblCellSpacing w:w="0" w:type="dxa"/>
        <w:tblBorders>
          <w:top w:val="outset" w:sz="6" w:space="0" w:color="EFEFEF"/>
          <w:left w:val="outset" w:sz="6" w:space="0" w:color="EFEFEF"/>
          <w:bottom w:val="outset" w:sz="6" w:space="0" w:color="EFEFEF"/>
          <w:right w:val="outset" w:sz="6" w:space="0" w:color="EFEFEF"/>
        </w:tblBorders>
        <w:tblCellMar>
          <w:top w:w="30" w:type="dxa"/>
          <w:left w:w="30" w:type="dxa"/>
          <w:bottom w:w="30" w:type="dxa"/>
          <w:right w:w="30" w:type="dxa"/>
        </w:tblCellMar>
        <w:tblLook w:val="04A0"/>
      </w:tblPr>
      <w:tblGrid>
        <w:gridCol w:w="1554"/>
        <w:gridCol w:w="4360"/>
        <w:gridCol w:w="3536"/>
      </w:tblGrid>
      <w:tr w:rsidR="005C451F" w:rsidRPr="005C451F" w:rsidTr="005C451F">
        <w:trPr>
          <w:tblHeader/>
          <w:tblCellSpacing w:w="0" w:type="dxa"/>
        </w:trPr>
        <w:tc>
          <w:tcPr>
            <w:tcW w:w="0" w:type="auto"/>
            <w:tcBorders>
              <w:top w:val="outset" w:sz="6" w:space="0" w:color="EFEFEF"/>
              <w:left w:val="outset" w:sz="6" w:space="0" w:color="EFEFEF"/>
              <w:bottom w:val="outset" w:sz="6" w:space="0" w:color="EFEFEF"/>
              <w:right w:val="outset" w:sz="6" w:space="0" w:color="EFEFEF"/>
            </w:tcBorders>
            <w:shd w:val="clear" w:color="auto" w:fill="E4F0FC"/>
            <w:vAlign w:val="bottom"/>
            <w:hideMark/>
          </w:tcPr>
          <w:p w:rsidR="005C451F" w:rsidRPr="005C451F" w:rsidRDefault="005C451F" w:rsidP="005C451F">
            <w:pPr>
              <w:spacing w:after="0" w:line="240" w:lineRule="auto"/>
              <w:rPr>
                <w:rFonts w:ascii="Times New Roman" w:eastAsia="Times New Roman" w:hAnsi="Times New Roman" w:cs="Times New Roman"/>
                <w:b/>
                <w:bCs/>
                <w:sz w:val="24"/>
                <w:szCs w:val="24"/>
              </w:rPr>
            </w:pPr>
            <w:r w:rsidRPr="005C451F">
              <w:rPr>
                <w:rFonts w:ascii="Times New Roman" w:eastAsia="Times New Roman" w:hAnsi="Times New Roman" w:cs="Times New Roman"/>
                <w:b/>
                <w:bCs/>
                <w:sz w:val="24"/>
                <w:szCs w:val="24"/>
              </w:rPr>
              <w:t>SIGN</w:t>
            </w:r>
          </w:p>
        </w:tc>
        <w:tc>
          <w:tcPr>
            <w:tcW w:w="0" w:type="auto"/>
            <w:tcBorders>
              <w:top w:val="outset" w:sz="6" w:space="0" w:color="EFEFEF"/>
              <w:left w:val="outset" w:sz="6" w:space="0" w:color="EFEFEF"/>
              <w:bottom w:val="outset" w:sz="6" w:space="0" w:color="EFEFEF"/>
              <w:right w:val="outset" w:sz="6" w:space="0" w:color="EFEFEF"/>
            </w:tcBorders>
            <w:shd w:val="clear" w:color="auto" w:fill="E4F0FC"/>
            <w:vAlign w:val="bottom"/>
            <w:hideMark/>
          </w:tcPr>
          <w:p w:rsidR="005C451F" w:rsidRPr="005C451F" w:rsidRDefault="005C451F" w:rsidP="005C451F">
            <w:pPr>
              <w:spacing w:after="0" w:line="240" w:lineRule="auto"/>
              <w:rPr>
                <w:rFonts w:ascii="Times New Roman" w:eastAsia="Times New Roman" w:hAnsi="Times New Roman" w:cs="Times New Roman"/>
                <w:b/>
                <w:bCs/>
                <w:sz w:val="24"/>
                <w:szCs w:val="24"/>
              </w:rPr>
            </w:pPr>
            <w:r w:rsidRPr="005C451F">
              <w:rPr>
                <w:rFonts w:ascii="Times New Roman" w:eastAsia="Times New Roman" w:hAnsi="Times New Roman" w:cs="Times New Roman"/>
                <w:b/>
                <w:bCs/>
                <w:sz w:val="24"/>
                <w:szCs w:val="24"/>
              </w:rPr>
              <w:t>DESCRIPTION</w:t>
            </w:r>
          </w:p>
        </w:tc>
        <w:tc>
          <w:tcPr>
            <w:tcW w:w="0" w:type="auto"/>
            <w:tcBorders>
              <w:top w:val="outset" w:sz="6" w:space="0" w:color="EFEFEF"/>
              <w:left w:val="outset" w:sz="6" w:space="0" w:color="EFEFEF"/>
              <w:bottom w:val="outset" w:sz="6" w:space="0" w:color="EFEFEF"/>
              <w:right w:val="outset" w:sz="6" w:space="0" w:color="EFEFEF"/>
            </w:tcBorders>
            <w:shd w:val="clear" w:color="auto" w:fill="E4F0FC"/>
            <w:vAlign w:val="bottom"/>
            <w:hideMark/>
          </w:tcPr>
          <w:p w:rsidR="005C451F" w:rsidRPr="005C451F" w:rsidRDefault="005C451F" w:rsidP="005C451F">
            <w:pPr>
              <w:spacing w:after="0" w:line="240" w:lineRule="auto"/>
              <w:rPr>
                <w:rFonts w:ascii="Times New Roman" w:eastAsia="Times New Roman" w:hAnsi="Times New Roman" w:cs="Times New Roman"/>
                <w:b/>
                <w:bCs/>
                <w:sz w:val="24"/>
                <w:szCs w:val="24"/>
              </w:rPr>
            </w:pPr>
            <w:r w:rsidRPr="005C451F">
              <w:rPr>
                <w:rFonts w:ascii="Times New Roman" w:eastAsia="Times New Roman" w:hAnsi="Times New Roman" w:cs="Times New Roman"/>
                <w:b/>
                <w:bCs/>
                <w:sz w:val="24"/>
                <w:szCs w:val="24"/>
              </w:rPr>
              <w:t>DIAGNOSIS/CONDITION</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Aaron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 xml:space="preserve">Pain or pressure in </w:t>
            </w:r>
            <w:proofErr w:type="spellStart"/>
            <w:r w:rsidRPr="005C451F">
              <w:rPr>
                <w:rFonts w:ascii="Times New Roman" w:eastAsia="Times New Roman" w:hAnsi="Times New Roman" w:cs="Times New Roman"/>
                <w:sz w:val="24"/>
                <w:szCs w:val="24"/>
              </w:rPr>
              <w:t>epigastrium</w:t>
            </w:r>
            <w:proofErr w:type="spellEnd"/>
            <w:r w:rsidRPr="005C451F">
              <w:rPr>
                <w:rFonts w:ascii="Times New Roman" w:eastAsia="Times New Roman" w:hAnsi="Times New Roman" w:cs="Times New Roman"/>
                <w:sz w:val="24"/>
                <w:szCs w:val="24"/>
              </w:rPr>
              <w:t xml:space="preserve"> or anterior chest with persistent firm pressure applied to McBurney's point</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Acute appendicitis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Bassler</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 xml:space="preserve">Sharp pain created by compressing appendix between abdominal wall and </w:t>
            </w:r>
            <w:proofErr w:type="spellStart"/>
            <w:r w:rsidRPr="005C451F">
              <w:rPr>
                <w:rFonts w:ascii="Times New Roman" w:eastAsia="Times New Roman" w:hAnsi="Times New Roman" w:cs="Times New Roman"/>
                <w:sz w:val="24"/>
                <w:szCs w:val="24"/>
              </w:rPr>
              <w:t>iliacus</w:t>
            </w:r>
            <w:proofErr w:type="spellEnd"/>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Chronic appendicitis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Blumberg's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Transient abdominal wall rebound tenderness</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Peritoneal inflammation</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Carnett's</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Loss of abdominal tenderness when abdominal wall muscles are contracted</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Intra-abdominal source of abdominal pain</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Chandelier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Extreme lower abdominal and pelvic pain with movement of cervix</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Pelvic inflammatory disease</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Charcot's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Intermittent right upper abdominal pain, jaundice, and fever</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Choledocholithiasis</w:t>
            </w:r>
            <w:proofErr w:type="spellEnd"/>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Claybrook</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Accentuation of breath and cardiac sounds through abdominal wall</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Ruptured abdominal viscus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Courvoisier's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Palpable gallbladder in presence of painless jaundice</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Periampullary</w:t>
            </w:r>
            <w:proofErr w:type="spellEnd"/>
            <w:r w:rsidRPr="005C451F">
              <w:rPr>
                <w:rFonts w:ascii="Times New Roman" w:eastAsia="Times New Roman" w:hAnsi="Times New Roman" w:cs="Times New Roman"/>
                <w:sz w:val="24"/>
                <w:szCs w:val="24"/>
              </w:rPr>
              <w:t xml:space="preserve"> tumor</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Cruveilhier</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 xml:space="preserve">Varicose veins at umbilicus (caput </w:t>
            </w:r>
            <w:proofErr w:type="spellStart"/>
            <w:r w:rsidRPr="005C451F">
              <w:rPr>
                <w:rFonts w:ascii="Times New Roman" w:eastAsia="Times New Roman" w:hAnsi="Times New Roman" w:cs="Times New Roman"/>
                <w:sz w:val="24"/>
                <w:szCs w:val="24"/>
              </w:rPr>
              <w:t>medusae</w:t>
            </w:r>
            <w:proofErr w:type="spellEnd"/>
            <w:r w:rsidRPr="005C451F">
              <w:rPr>
                <w:rFonts w:ascii="Times New Roman" w:eastAsia="Times New Roman" w:hAnsi="Times New Roman" w:cs="Times New Roman"/>
                <w:sz w:val="24"/>
                <w:szCs w:val="24"/>
              </w:rPr>
              <w:t>)</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Portal hypertension</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Cullen's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Periumbilical</w:t>
            </w:r>
            <w:proofErr w:type="spellEnd"/>
            <w:r w:rsidRPr="005C451F">
              <w:rPr>
                <w:rFonts w:ascii="Times New Roman" w:eastAsia="Times New Roman" w:hAnsi="Times New Roman" w:cs="Times New Roman"/>
                <w:sz w:val="24"/>
                <w:szCs w:val="24"/>
              </w:rPr>
              <w:t xml:space="preserve"> bruising</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Hemoperitoneum</w:t>
            </w:r>
            <w:proofErr w:type="spellEnd"/>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Danforth</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Shoulder pain on inspiration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Hemoperitoneum</w:t>
            </w:r>
            <w:proofErr w:type="spellEnd"/>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Fothergill's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Abdominal wall mass that does not cross midline and remains palpable when rectus contracted</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Rectus muscle hematomas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Grey Turner's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Local areas of discoloration around umbilicus and flanks</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Acute hemorrhagic pancreatitis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Iliopsoas</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Elevation and extension of leg against resistance creates pain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Appendicitis with retrocecal abscess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Kehr's</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Left shoulder pain when supine and pressure placed on left upper abdomen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Haemoperitonium (especially from splenic origin)</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Mannkopf's</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Increased pulse when painful abdomen palpated</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Absent if malingering</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Default="005C451F" w:rsidP="005C451F">
            <w:pPr>
              <w:spacing w:after="0" w:line="240" w:lineRule="auto"/>
              <w:rPr>
                <w:rFonts w:ascii="Times New Roman" w:eastAsia="Times New Roman" w:hAnsi="Times New Roman" w:cs="Times New Roman"/>
                <w:sz w:val="24"/>
                <w:szCs w:val="24"/>
              </w:rPr>
            </w:pPr>
          </w:p>
          <w:p w:rsidR="005C451F" w:rsidRDefault="005C451F" w:rsidP="005C451F">
            <w:pPr>
              <w:spacing w:after="0" w:line="240" w:lineRule="auto"/>
              <w:rPr>
                <w:rFonts w:ascii="Times New Roman" w:eastAsia="Times New Roman" w:hAnsi="Times New Roman" w:cs="Times New Roman"/>
                <w:sz w:val="24"/>
                <w:szCs w:val="24"/>
              </w:rPr>
            </w:pPr>
          </w:p>
          <w:p w:rsidR="005C451F" w:rsidRPr="005C451F" w:rsidRDefault="005C451F" w:rsidP="005C451F">
            <w:pPr>
              <w:spacing w:after="0" w:line="240" w:lineRule="auto"/>
              <w:rPr>
                <w:rFonts w:ascii="Times New Roman" w:eastAsia="Times New Roman" w:hAnsi="Times New Roman" w:cs="Times New Roman"/>
                <w:sz w:val="24"/>
                <w:szCs w:val="24"/>
              </w:rPr>
            </w:pP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Pain caused by inspiration while applying pressure to right upper abdomen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Acute cholecystitis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Obturator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Flexion and external rotation of right thigh while supine creates hypogastric pain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Pelvic abscess or inflammatory mass in pelvis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proofErr w:type="spellStart"/>
            <w:r w:rsidRPr="005C451F">
              <w:rPr>
                <w:rFonts w:ascii="Times New Roman" w:eastAsia="Times New Roman" w:hAnsi="Times New Roman" w:cs="Times New Roman"/>
                <w:sz w:val="24"/>
                <w:szCs w:val="24"/>
              </w:rPr>
              <w:t>Ransohoff</w:t>
            </w:r>
            <w:proofErr w:type="spellEnd"/>
            <w:r w:rsidRPr="005C451F">
              <w:rPr>
                <w:rFonts w:ascii="Times New Roman" w:eastAsia="Times New Roman" w:hAnsi="Times New Roman" w:cs="Times New Roman"/>
                <w:sz w:val="24"/>
                <w:szCs w:val="24"/>
              </w:rPr>
              <w:t xml:space="preserve">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Yellow discoloration of umbilical region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Ruptured common bile duct</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Rovsing's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Pain at McBurney's point when compressing the left lower abdomen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Acute appendicitis</w:t>
            </w:r>
          </w:p>
        </w:tc>
      </w:tr>
      <w:tr w:rsidR="005C451F" w:rsidRPr="005C451F" w:rsidTr="005C451F">
        <w:trPr>
          <w:tblCellSpacing w:w="0" w:type="dxa"/>
        </w:trPr>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Ten Horn sign</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Pain caused by gentle traction of right testicle</w:t>
            </w:r>
          </w:p>
        </w:tc>
        <w:tc>
          <w:tcPr>
            <w:tcW w:w="0" w:type="auto"/>
            <w:tcBorders>
              <w:top w:val="outset" w:sz="6" w:space="0" w:color="EFEFEF"/>
              <w:left w:val="outset" w:sz="6" w:space="0" w:color="EFEFEF"/>
              <w:bottom w:val="outset" w:sz="6" w:space="0" w:color="EFEFEF"/>
              <w:right w:val="outset" w:sz="6" w:space="0" w:color="EFEFEF"/>
            </w:tcBorders>
            <w:tcMar>
              <w:top w:w="48" w:type="dxa"/>
              <w:left w:w="48" w:type="dxa"/>
              <w:bottom w:w="48" w:type="dxa"/>
              <w:right w:w="48" w:type="dxa"/>
            </w:tcMar>
            <w:hideMark/>
          </w:tcPr>
          <w:p w:rsidR="005C451F" w:rsidRPr="005C451F" w:rsidRDefault="005C451F" w:rsidP="005C451F">
            <w:pPr>
              <w:spacing w:after="0"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Acute appendicitis</w:t>
            </w:r>
          </w:p>
        </w:tc>
      </w:tr>
    </w:tbl>
    <w:p w:rsidR="005C451F" w:rsidRPr="005C451F" w:rsidRDefault="005C451F" w:rsidP="005C451F">
      <w:pPr>
        <w:spacing w:after="0" w:line="240" w:lineRule="auto"/>
        <w:rPr>
          <w:rFonts w:ascii="Times New Roman" w:eastAsia="Times New Roman" w:hAnsi="Times New Roman" w:cs="Times New Roman"/>
          <w:vanish/>
          <w:sz w:val="24"/>
          <w:szCs w:val="24"/>
        </w:rPr>
      </w:pPr>
    </w:p>
    <w:tbl>
      <w:tblPr>
        <w:tblW w:w="0" w:type="auto"/>
        <w:tblCellSpacing w:w="15" w:type="dxa"/>
        <w:tblCellMar>
          <w:top w:w="48" w:type="dxa"/>
          <w:left w:w="48" w:type="dxa"/>
          <w:bottom w:w="48" w:type="dxa"/>
          <w:right w:w="48" w:type="dxa"/>
        </w:tblCellMar>
        <w:tblLook w:val="04A0"/>
      </w:tblPr>
      <w:tblGrid>
        <w:gridCol w:w="96"/>
      </w:tblGrid>
      <w:tr w:rsidR="005C451F" w:rsidRPr="005C451F" w:rsidTr="005C451F">
        <w:trPr>
          <w:tblCellSpacing w:w="15" w:type="dxa"/>
        </w:trPr>
        <w:tc>
          <w:tcPr>
            <w:tcW w:w="0" w:type="auto"/>
            <w:tcMar>
              <w:top w:w="15" w:type="dxa"/>
              <w:left w:w="15" w:type="dxa"/>
              <w:bottom w:w="15" w:type="dxa"/>
              <w:right w:w="15" w:type="dxa"/>
            </w:tcMar>
            <w:vAlign w:val="center"/>
            <w:hideMark/>
          </w:tcPr>
          <w:p w:rsidR="005C451F" w:rsidRPr="005C451F" w:rsidRDefault="005C451F" w:rsidP="005C451F">
            <w:pPr>
              <w:spacing w:after="0" w:line="240" w:lineRule="auto"/>
              <w:rPr>
                <w:rFonts w:ascii="Times New Roman" w:eastAsia="Times New Roman" w:hAnsi="Times New Roman" w:cs="Times New Roman"/>
                <w:sz w:val="24"/>
                <w:szCs w:val="24"/>
              </w:rPr>
            </w:pPr>
          </w:p>
        </w:tc>
      </w:tr>
    </w:tbl>
    <w:p w:rsidR="005C451F" w:rsidRPr="005C451F" w:rsidRDefault="005C451F" w:rsidP="005C451F">
      <w:pPr>
        <w:spacing w:after="0" w:line="240" w:lineRule="auto"/>
        <w:rPr>
          <w:rFonts w:ascii="Times New Roman" w:eastAsia="Times New Roman" w:hAnsi="Times New Roman" w:cs="Times New Roman"/>
          <w:sz w:val="24"/>
          <w:szCs w:val="24"/>
        </w:rPr>
      </w:pPr>
    </w:p>
    <w:p w:rsidR="005C451F" w:rsidRPr="005C451F" w:rsidRDefault="005C451F" w:rsidP="005C451F">
      <w:pPr>
        <w:spacing w:before="100" w:beforeAutospacing="1" w:after="100" w:afterAutospacing="1" w:line="240" w:lineRule="auto"/>
        <w:rPr>
          <w:rFonts w:ascii="Times New Roman" w:eastAsia="Times New Roman" w:hAnsi="Times New Roman" w:cs="Times New Roman"/>
          <w:sz w:val="24"/>
          <w:szCs w:val="24"/>
        </w:rPr>
      </w:pPr>
      <w:r w:rsidRPr="005C451F">
        <w:rPr>
          <w:rFonts w:ascii="Times New Roman" w:eastAsia="Times New Roman" w:hAnsi="Times New Roman" w:cs="Times New Roman"/>
          <w:sz w:val="24"/>
          <w:szCs w:val="24"/>
        </w:rPr>
        <w:t>Digital recta</w:t>
      </w:r>
      <w:r>
        <w:rPr>
          <w:rFonts w:ascii="Times New Roman" w:eastAsia="Times New Roman" w:hAnsi="Times New Roman" w:cs="Times New Roman"/>
          <w:sz w:val="24"/>
          <w:szCs w:val="24"/>
        </w:rPr>
        <w:t>l examination</w:t>
      </w:r>
      <w:r w:rsidRPr="005C451F">
        <w:rPr>
          <w:rFonts w:ascii="Times New Roman" w:eastAsia="Times New Roman" w:hAnsi="Times New Roman" w:cs="Times New Roman"/>
          <w:sz w:val="24"/>
          <w:szCs w:val="24"/>
        </w:rPr>
        <w:t xml:space="preserve"> needs to be performed in all patients with acute abdominal pain, checking for the presence of a mass, pelvic pain, or intraluminal blood. A pelvi</w:t>
      </w:r>
      <w:r>
        <w:rPr>
          <w:rFonts w:ascii="Times New Roman" w:eastAsia="Times New Roman" w:hAnsi="Times New Roman" w:cs="Times New Roman"/>
          <w:sz w:val="24"/>
          <w:szCs w:val="24"/>
        </w:rPr>
        <w:t>c examination</w:t>
      </w:r>
      <w:r w:rsidRPr="005C451F">
        <w:rPr>
          <w:rFonts w:ascii="Times New Roman" w:eastAsia="Times New Roman" w:hAnsi="Times New Roman" w:cs="Times New Roman"/>
          <w:sz w:val="24"/>
          <w:szCs w:val="24"/>
        </w:rPr>
        <w:t xml:space="preserve"> is included in all women when evaluating pain located below the umbilicus. Gynecologic and adnexal processes are best characterized by a thorough speculum and bimanual evaluation</w:t>
      </w:r>
    </w:p>
    <w:p w:rsidR="00BE5788" w:rsidRDefault="00BE5788" w:rsidP="00BE5788">
      <w:pPr>
        <w:pStyle w:val="NormalWeb"/>
      </w:pPr>
    </w:p>
    <w:p w:rsidR="005C451F" w:rsidRDefault="005C451F" w:rsidP="00BE5788">
      <w:pPr>
        <w:pStyle w:val="NormalWeb"/>
      </w:pPr>
    </w:p>
    <w:p w:rsidR="00BE5788" w:rsidRPr="00A14D3F" w:rsidRDefault="00BE5788" w:rsidP="00A14D3F">
      <w:pPr>
        <w:spacing w:before="100" w:beforeAutospacing="1" w:after="100" w:afterAutospacing="1" w:line="240" w:lineRule="auto"/>
        <w:rPr>
          <w:rFonts w:ascii="Times New Roman" w:eastAsia="Times New Roman" w:hAnsi="Times New Roman" w:cs="Times New Roman"/>
          <w:sz w:val="24"/>
          <w:szCs w:val="24"/>
        </w:rPr>
      </w:pPr>
    </w:p>
    <w:p w:rsidR="00F55BAB" w:rsidRDefault="00F55BAB" w:rsidP="00F55BAB">
      <w:pPr>
        <w:pStyle w:val="NormalWeb"/>
      </w:pPr>
    </w:p>
    <w:p w:rsidR="00A14D3F" w:rsidRDefault="00A14D3F" w:rsidP="00F55BAB">
      <w:pPr>
        <w:pStyle w:val="NormalWeb"/>
      </w:pPr>
    </w:p>
    <w:p w:rsidR="00DF366F" w:rsidRDefault="00DF366F" w:rsidP="00F55BAB">
      <w:pPr>
        <w:pStyle w:val="NormalWeb"/>
      </w:pPr>
    </w:p>
    <w:p w:rsidR="00F55BAB" w:rsidRDefault="00F55BAB" w:rsidP="00F55BAB">
      <w:pPr>
        <w:pStyle w:val="NormalWeb"/>
      </w:pPr>
    </w:p>
    <w:p w:rsidR="00B72B59" w:rsidRDefault="00B72B59" w:rsidP="00B72B59">
      <w:pPr>
        <w:pStyle w:val="NormalWeb"/>
      </w:pPr>
    </w:p>
    <w:p w:rsidR="00F55BAB" w:rsidRDefault="00F55BAB" w:rsidP="00B72B59">
      <w:pPr>
        <w:pStyle w:val="NormalWeb"/>
      </w:pPr>
    </w:p>
    <w:p w:rsidR="00F64706" w:rsidRDefault="00F64706"/>
    <w:p w:rsidR="00B72B59" w:rsidRDefault="00B72B59"/>
    <w:sectPr w:rsidR="00B72B59" w:rsidSect="00A262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savePreviewPicture/>
  <w:compat/>
  <w:rsids>
    <w:rsidRoot w:val="00F64706"/>
    <w:rsid w:val="00035D45"/>
    <w:rsid w:val="003C596F"/>
    <w:rsid w:val="004C0A49"/>
    <w:rsid w:val="005C451F"/>
    <w:rsid w:val="007B1951"/>
    <w:rsid w:val="0082653B"/>
    <w:rsid w:val="00911B38"/>
    <w:rsid w:val="00A14D3F"/>
    <w:rsid w:val="00A2621B"/>
    <w:rsid w:val="00B72B59"/>
    <w:rsid w:val="00BE5788"/>
    <w:rsid w:val="00DF366F"/>
    <w:rsid w:val="00F55BAB"/>
    <w:rsid w:val="00F64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14D3F"/>
  </w:style>
  <w:style w:type="character" w:customStyle="1" w:styleId="section-title-11">
    <w:name w:val="section-title-11"/>
    <w:basedOn w:val="DefaultParagraphFont"/>
    <w:rsid w:val="00A14D3F"/>
    <w:rPr>
      <w:b w:val="0"/>
      <w:bCs w:val="0"/>
      <w:color w:val="003D6D"/>
      <w:sz w:val="16"/>
      <w:szCs w:val="16"/>
    </w:rPr>
  </w:style>
</w:styles>
</file>

<file path=word/webSettings.xml><?xml version="1.0" encoding="utf-8"?>
<w:webSettings xmlns:r="http://schemas.openxmlformats.org/officeDocument/2006/relationships" xmlns:w="http://schemas.openxmlformats.org/wordprocessingml/2006/main">
  <w:divs>
    <w:div w:id="40256448">
      <w:bodyDiv w:val="1"/>
      <w:marLeft w:val="0"/>
      <w:marRight w:val="0"/>
      <w:marTop w:val="0"/>
      <w:marBottom w:val="0"/>
      <w:divBdr>
        <w:top w:val="none" w:sz="0" w:space="0" w:color="auto"/>
        <w:left w:val="none" w:sz="0" w:space="0" w:color="auto"/>
        <w:bottom w:val="none" w:sz="0" w:space="0" w:color="auto"/>
        <w:right w:val="none" w:sz="0" w:space="0" w:color="auto"/>
      </w:divBdr>
      <w:divsChild>
        <w:div w:id="1283533156">
          <w:marLeft w:val="0"/>
          <w:marRight w:val="0"/>
          <w:marTop w:val="0"/>
          <w:marBottom w:val="0"/>
          <w:divBdr>
            <w:top w:val="none" w:sz="0" w:space="0" w:color="auto"/>
            <w:left w:val="none" w:sz="0" w:space="0" w:color="auto"/>
            <w:bottom w:val="none" w:sz="0" w:space="0" w:color="auto"/>
            <w:right w:val="none" w:sz="0" w:space="0" w:color="auto"/>
          </w:divBdr>
          <w:divsChild>
            <w:div w:id="1031371136">
              <w:marLeft w:val="0"/>
              <w:marRight w:val="0"/>
              <w:marTop w:val="0"/>
              <w:marBottom w:val="0"/>
              <w:divBdr>
                <w:top w:val="none" w:sz="0" w:space="0" w:color="auto"/>
                <w:left w:val="none" w:sz="0" w:space="0" w:color="auto"/>
                <w:bottom w:val="none" w:sz="0" w:space="0" w:color="auto"/>
                <w:right w:val="none" w:sz="0" w:space="0" w:color="auto"/>
              </w:divBdr>
              <w:divsChild>
                <w:div w:id="778334054">
                  <w:marLeft w:val="0"/>
                  <w:marRight w:val="0"/>
                  <w:marTop w:val="0"/>
                  <w:marBottom w:val="0"/>
                  <w:divBdr>
                    <w:top w:val="none" w:sz="0" w:space="0" w:color="auto"/>
                    <w:left w:val="none" w:sz="0" w:space="0" w:color="auto"/>
                    <w:bottom w:val="none" w:sz="0" w:space="0" w:color="auto"/>
                    <w:right w:val="none" w:sz="0" w:space="0" w:color="auto"/>
                  </w:divBdr>
                  <w:divsChild>
                    <w:div w:id="2823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0712">
      <w:bodyDiv w:val="1"/>
      <w:marLeft w:val="0"/>
      <w:marRight w:val="0"/>
      <w:marTop w:val="0"/>
      <w:marBottom w:val="0"/>
      <w:divBdr>
        <w:top w:val="none" w:sz="0" w:space="0" w:color="auto"/>
        <w:left w:val="none" w:sz="0" w:space="0" w:color="auto"/>
        <w:bottom w:val="none" w:sz="0" w:space="0" w:color="auto"/>
        <w:right w:val="none" w:sz="0" w:space="0" w:color="auto"/>
      </w:divBdr>
      <w:divsChild>
        <w:div w:id="243103996">
          <w:marLeft w:val="0"/>
          <w:marRight w:val="0"/>
          <w:marTop w:val="0"/>
          <w:marBottom w:val="0"/>
          <w:divBdr>
            <w:top w:val="none" w:sz="0" w:space="0" w:color="auto"/>
            <w:left w:val="none" w:sz="0" w:space="0" w:color="auto"/>
            <w:bottom w:val="none" w:sz="0" w:space="0" w:color="auto"/>
            <w:right w:val="none" w:sz="0" w:space="0" w:color="auto"/>
          </w:divBdr>
          <w:divsChild>
            <w:div w:id="663583700">
              <w:marLeft w:val="0"/>
              <w:marRight w:val="0"/>
              <w:marTop w:val="0"/>
              <w:marBottom w:val="0"/>
              <w:divBdr>
                <w:top w:val="none" w:sz="0" w:space="0" w:color="auto"/>
                <w:left w:val="none" w:sz="0" w:space="0" w:color="auto"/>
                <w:bottom w:val="none" w:sz="0" w:space="0" w:color="auto"/>
                <w:right w:val="none" w:sz="0" w:space="0" w:color="auto"/>
              </w:divBdr>
              <w:divsChild>
                <w:div w:id="143008461">
                  <w:marLeft w:val="0"/>
                  <w:marRight w:val="0"/>
                  <w:marTop w:val="0"/>
                  <w:marBottom w:val="0"/>
                  <w:divBdr>
                    <w:top w:val="none" w:sz="0" w:space="0" w:color="auto"/>
                    <w:left w:val="none" w:sz="0" w:space="0" w:color="auto"/>
                    <w:bottom w:val="none" w:sz="0" w:space="0" w:color="auto"/>
                    <w:right w:val="none" w:sz="0" w:space="0" w:color="auto"/>
                  </w:divBdr>
                  <w:divsChild>
                    <w:div w:id="1801150237">
                      <w:marLeft w:val="0"/>
                      <w:marRight w:val="0"/>
                      <w:marTop w:val="0"/>
                      <w:marBottom w:val="0"/>
                      <w:divBdr>
                        <w:top w:val="none" w:sz="0" w:space="0" w:color="auto"/>
                        <w:left w:val="none" w:sz="0" w:space="0" w:color="auto"/>
                        <w:bottom w:val="none" w:sz="0" w:space="0" w:color="auto"/>
                        <w:right w:val="none" w:sz="0" w:space="0" w:color="auto"/>
                      </w:divBdr>
                      <w:divsChild>
                        <w:div w:id="1850631462">
                          <w:marLeft w:val="0"/>
                          <w:marRight w:val="0"/>
                          <w:marTop w:val="0"/>
                          <w:marBottom w:val="0"/>
                          <w:divBdr>
                            <w:top w:val="none" w:sz="0" w:space="0" w:color="auto"/>
                            <w:left w:val="none" w:sz="0" w:space="0" w:color="auto"/>
                            <w:bottom w:val="none" w:sz="0" w:space="0" w:color="auto"/>
                            <w:right w:val="none" w:sz="0" w:space="0" w:color="auto"/>
                          </w:divBdr>
                        </w:div>
                        <w:div w:id="20486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733425">
      <w:bodyDiv w:val="1"/>
      <w:marLeft w:val="0"/>
      <w:marRight w:val="0"/>
      <w:marTop w:val="0"/>
      <w:marBottom w:val="0"/>
      <w:divBdr>
        <w:top w:val="none" w:sz="0" w:space="0" w:color="auto"/>
        <w:left w:val="none" w:sz="0" w:space="0" w:color="auto"/>
        <w:bottom w:val="none" w:sz="0" w:space="0" w:color="auto"/>
        <w:right w:val="none" w:sz="0" w:space="0" w:color="auto"/>
      </w:divBdr>
      <w:divsChild>
        <w:div w:id="256443644">
          <w:marLeft w:val="0"/>
          <w:marRight w:val="0"/>
          <w:marTop w:val="0"/>
          <w:marBottom w:val="0"/>
          <w:divBdr>
            <w:top w:val="none" w:sz="0" w:space="0" w:color="auto"/>
            <w:left w:val="none" w:sz="0" w:space="0" w:color="auto"/>
            <w:bottom w:val="none" w:sz="0" w:space="0" w:color="auto"/>
            <w:right w:val="none" w:sz="0" w:space="0" w:color="auto"/>
          </w:divBdr>
          <w:divsChild>
            <w:div w:id="610819052">
              <w:marLeft w:val="0"/>
              <w:marRight w:val="0"/>
              <w:marTop w:val="0"/>
              <w:marBottom w:val="0"/>
              <w:divBdr>
                <w:top w:val="none" w:sz="0" w:space="0" w:color="auto"/>
                <w:left w:val="none" w:sz="0" w:space="0" w:color="auto"/>
                <w:bottom w:val="none" w:sz="0" w:space="0" w:color="auto"/>
                <w:right w:val="none" w:sz="0" w:space="0" w:color="auto"/>
              </w:divBdr>
              <w:divsChild>
                <w:div w:id="235215448">
                  <w:marLeft w:val="0"/>
                  <w:marRight w:val="0"/>
                  <w:marTop w:val="0"/>
                  <w:marBottom w:val="0"/>
                  <w:divBdr>
                    <w:top w:val="none" w:sz="0" w:space="0" w:color="auto"/>
                    <w:left w:val="none" w:sz="0" w:space="0" w:color="auto"/>
                    <w:bottom w:val="none" w:sz="0" w:space="0" w:color="auto"/>
                    <w:right w:val="none" w:sz="0" w:space="0" w:color="auto"/>
                  </w:divBdr>
                  <w:divsChild>
                    <w:div w:id="9639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6132">
      <w:bodyDiv w:val="1"/>
      <w:marLeft w:val="0"/>
      <w:marRight w:val="0"/>
      <w:marTop w:val="0"/>
      <w:marBottom w:val="0"/>
      <w:divBdr>
        <w:top w:val="none" w:sz="0" w:space="0" w:color="auto"/>
        <w:left w:val="none" w:sz="0" w:space="0" w:color="auto"/>
        <w:bottom w:val="none" w:sz="0" w:space="0" w:color="auto"/>
        <w:right w:val="none" w:sz="0" w:space="0" w:color="auto"/>
      </w:divBdr>
      <w:divsChild>
        <w:div w:id="400637597">
          <w:marLeft w:val="0"/>
          <w:marRight w:val="0"/>
          <w:marTop w:val="0"/>
          <w:marBottom w:val="0"/>
          <w:divBdr>
            <w:top w:val="none" w:sz="0" w:space="0" w:color="auto"/>
            <w:left w:val="none" w:sz="0" w:space="0" w:color="auto"/>
            <w:bottom w:val="none" w:sz="0" w:space="0" w:color="auto"/>
            <w:right w:val="none" w:sz="0" w:space="0" w:color="auto"/>
          </w:divBdr>
          <w:divsChild>
            <w:div w:id="1774812967">
              <w:marLeft w:val="0"/>
              <w:marRight w:val="0"/>
              <w:marTop w:val="0"/>
              <w:marBottom w:val="0"/>
              <w:divBdr>
                <w:top w:val="none" w:sz="0" w:space="0" w:color="auto"/>
                <w:left w:val="none" w:sz="0" w:space="0" w:color="auto"/>
                <w:bottom w:val="none" w:sz="0" w:space="0" w:color="auto"/>
                <w:right w:val="none" w:sz="0" w:space="0" w:color="auto"/>
              </w:divBdr>
              <w:divsChild>
                <w:div w:id="261189769">
                  <w:marLeft w:val="0"/>
                  <w:marRight w:val="0"/>
                  <w:marTop w:val="0"/>
                  <w:marBottom w:val="0"/>
                  <w:divBdr>
                    <w:top w:val="none" w:sz="0" w:space="0" w:color="auto"/>
                    <w:left w:val="none" w:sz="0" w:space="0" w:color="auto"/>
                    <w:bottom w:val="none" w:sz="0" w:space="0" w:color="auto"/>
                    <w:right w:val="none" w:sz="0" w:space="0" w:color="auto"/>
                  </w:divBdr>
                  <w:divsChild>
                    <w:div w:id="12732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65395">
      <w:bodyDiv w:val="1"/>
      <w:marLeft w:val="0"/>
      <w:marRight w:val="0"/>
      <w:marTop w:val="0"/>
      <w:marBottom w:val="0"/>
      <w:divBdr>
        <w:top w:val="none" w:sz="0" w:space="0" w:color="auto"/>
        <w:left w:val="none" w:sz="0" w:space="0" w:color="auto"/>
        <w:bottom w:val="none" w:sz="0" w:space="0" w:color="auto"/>
        <w:right w:val="none" w:sz="0" w:space="0" w:color="auto"/>
      </w:divBdr>
      <w:divsChild>
        <w:div w:id="1609581090">
          <w:marLeft w:val="0"/>
          <w:marRight w:val="0"/>
          <w:marTop w:val="0"/>
          <w:marBottom w:val="0"/>
          <w:divBdr>
            <w:top w:val="none" w:sz="0" w:space="0" w:color="auto"/>
            <w:left w:val="none" w:sz="0" w:space="0" w:color="auto"/>
            <w:bottom w:val="none" w:sz="0" w:space="0" w:color="auto"/>
            <w:right w:val="none" w:sz="0" w:space="0" w:color="auto"/>
          </w:divBdr>
          <w:divsChild>
            <w:div w:id="1514105612">
              <w:marLeft w:val="0"/>
              <w:marRight w:val="0"/>
              <w:marTop w:val="0"/>
              <w:marBottom w:val="0"/>
              <w:divBdr>
                <w:top w:val="none" w:sz="0" w:space="0" w:color="auto"/>
                <w:left w:val="none" w:sz="0" w:space="0" w:color="auto"/>
                <w:bottom w:val="none" w:sz="0" w:space="0" w:color="auto"/>
                <w:right w:val="none" w:sz="0" w:space="0" w:color="auto"/>
              </w:divBdr>
              <w:divsChild>
                <w:div w:id="2004972484">
                  <w:marLeft w:val="0"/>
                  <w:marRight w:val="0"/>
                  <w:marTop w:val="0"/>
                  <w:marBottom w:val="0"/>
                  <w:divBdr>
                    <w:top w:val="none" w:sz="0" w:space="0" w:color="auto"/>
                    <w:left w:val="none" w:sz="0" w:space="0" w:color="auto"/>
                    <w:bottom w:val="none" w:sz="0" w:space="0" w:color="auto"/>
                    <w:right w:val="none" w:sz="0" w:space="0" w:color="auto"/>
                  </w:divBdr>
                  <w:divsChild>
                    <w:div w:id="1230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50678">
      <w:bodyDiv w:val="1"/>
      <w:marLeft w:val="0"/>
      <w:marRight w:val="0"/>
      <w:marTop w:val="0"/>
      <w:marBottom w:val="0"/>
      <w:divBdr>
        <w:top w:val="none" w:sz="0" w:space="0" w:color="auto"/>
        <w:left w:val="none" w:sz="0" w:space="0" w:color="auto"/>
        <w:bottom w:val="none" w:sz="0" w:space="0" w:color="auto"/>
        <w:right w:val="none" w:sz="0" w:space="0" w:color="auto"/>
      </w:divBdr>
      <w:divsChild>
        <w:div w:id="836461754">
          <w:marLeft w:val="0"/>
          <w:marRight w:val="0"/>
          <w:marTop w:val="0"/>
          <w:marBottom w:val="0"/>
          <w:divBdr>
            <w:top w:val="none" w:sz="0" w:space="0" w:color="auto"/>
            <w:left w:val="none" w:sz="0" w:space="0" w:color="auto"/>
            <w:bottom w:val="none" w:sz="0" w:space="0" w:color="auto"/>
            <w:right w:val="none" w:sz="0" w:space="0" w:color="auto"/>
          </w:divBdr>
          <w:divsChild>
            <w:div w:id="1815177288">
              <w:marLeft w:val="0"/>
              <w:marRight w:val="0"/>
              <w:marTop w:val="0"/>
              <w:marBottom w:val="0"/>
              <w:divBdr>
                <w:top w:val="none" w:sz="0" w:space="0" w:color="auto"/>
                <w:left w:val="none" w:sz="0" w:space="0" w:color="auto"/>
                <w:bottom w:val="none" w:sz="0" w:space="0" w:color="auto"/>
                <w:right w:val="none" w:sz="0" w:space="0" w:color="auto"/>
              </w:divBdr>
              <w:divsChild>
                <w:div w:id="1617952784">
                  <w:marLeft w:val="0"/>
                  <w:marRight w:val="0"/>
                  <w:marTop w:val="0"/>
                  <w:marBottom w:val="0"/>
                  <w:divBdr>
                    <w:top w:val="none" w:sz="0" w:space="0" w:color="auto"/>
                    <w:left w:val="none" w:sz="0" w:space="0" w:color="auto"/>
                    <w:bottom w:val="none" w:sz="0" w:space="0" w:color="auto"/>
                    <w:right w:val="none" w:sz="0" w:space="0" w:color="auto"/>
                  </w:divBdr>
                  <w:divsChild>
                    <w:div w:id="1380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1317</Words>
  <Characters>7511</Characters>
  <Application>Microsoft Office Word</Application>
  <DocSecurity>0</DocSecurity>
  <Lines>62</Lines>
  <Paragraphs>17</Paragraphs>
  <ScaleCrop>false</ScaleCrop>
  <Company>Hewlett-Packard</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NJOROGE KINYANJUI</dc:creator>
  <cp:lastModifiedBy>JOSEPH NJOROGE KINYANJUI</cp:lastModifiedBy>
  <cp:revision>15</cp:revision>
  <dcterms:created xsi:type="dcterms:W3CDTF">2017-09-11T18:53:00Z</dcterms:created>
  <dcterms:modified xsi:type="dcterms:W3CDTF">2017-09-12T05:32:00Z</dcterms:modified>
</cp:coreProperties>
</file>